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F7" w:rsidRPr="000B2FF7" w:rsidRDefault="000B2FF7" w:rsidP="000B2FF7">
      <w:pPr>
        <w:tabs>
          <w:tab w:val="left" w:pos="709"/>
          <w:tab w:val="left" w:pos="1701"/>
        </w:tabs>
        <w:rPr>
          <w:rFonts w:asciiTheme="minorHAnsi" w:hAnsiTheme="minorHAnsi"/>
          <w:b/>
          <w:bCs/>
        </w:rPr>
      </w:pPr>
      <w:bookmarkStart w:id="0" w:name="Date"/>
      <w:bookmarkEnd w:id="0"/>
      <w:r w:rsidRPr="000B2FF7">
        <w:rPr>
          <w:rFonts w:asciiTheme="minorHAnsi" w:hAnsiTheme="minorHAnsi"/>
          <w:b/>
          <w:bCs/>
        </w:rPr>
        <w:t>Market Notice</w:t>
      </w: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  <w:r w:rsidRPr="000B2FF7">
        <w:rPr>
          <w:rFonts w:asciiTheme="minorHAnsi" w:hAnsiTheme="minorHAnsi"/>
          <w:b/>
          <w:bCs/>
        </w:rPr>
        <w:t>Date:</w:t>
      </w:r>
      <w:r w:rsidRPr="000B2FF7">
        <w:rPr>
          <w:rFonts w:asciiTheme="minorHAnsi" w:hAnsiTheme="minorHAnsi"/>
          <w:b/>
          <w:bCs/>
        </w:rPr>
        <w:tab/>
      </w:r>
      <w:r w:rsidR="00E739E3">
        <w:rPr>
          <w:rFonts w:asciiTheme="minorHAnsi" w:hAnsiTheme="minorHAnsi"/>
          <w:b/>
          <w:bCs/>
        </w:rPr>
        <w:t>4 August 2017</w:t>
      </w:r>
      <w:r w:rsidRPr="000B2FF7">
        <w:rPr>
          <w:rFonts w:asciiTheme="minorHAnsi" w:hAnsiTheme="minorHAnsi"/>
          <w:b/>
          <w:bCs/>
        </w:rPr>
        <w:t xml:space="preserve">  </w:t>
      </w:r>
    </w:p>
    <w:p w:rsidR="000B2FF7" w:rsidRPr="000B2FF7" w:rsidRDefault="000B2FF7" w:rsidP="000B2FF7">
      <w:pPr>
        <w:rPr>
          <w:rFonts w:asciiTheme="minorHAnsi" w:hAnsiTheme="minorHAnsi"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smallCaps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b/>
          <w:bCs/>
          <w:smallCaps/>
          <w:lang w:val="en-GB"/>
        </w:rPr>
        <w:t>Subject:</w:t>
      </w:r>
      <w:r w:rsidRPr="000B2FF7">
        <w:rPr>
          <w:rFonts w:asciiTheme="minorHAnsi" w:hAnsiTheme="minorHAnsi"/>
          <w:b/>
          <w:bCs/>
          <w:lang w:val="en-GB"/>
        </w:rPr>
        <w:t xml:space="preserve">   </w:t>
      </w:r>
      <w:r w:rsidRPr="000B2FF7">
        <w:rPr>
          <w:rFonts w:asciiTheme="minorHAnsi" w:hAnsiTheme="minorHAnsi"/>
          <w:lang w:val="en-GB"/>
        </w:rPr>
        <w:t>Extension of the Redemption Date</w:t>
      </w:r>
    </w:p>
    <w:p w:rsidR="00E739E3" w:rsidRPr="005E1664" w:rsidRDefault="00E739E3" w:rsidP="00E739E3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E1664">
        <w:rPr>
          <w:rFonts w:asciiTheme="minorHAnsi" w:hAnsiTheme="minorHAnsi" w:cs="Arial"/>
          <w:b/>
          <w:lang w:val="en-ZA"/>
        </w:rPr>
        <w:t xml:space="preserve">(TORQUE SECURITISATION (RF) LIMITED –“TORQ3; </w:t>
      </w:r>
      <w:r w:rsidR="00CA1C8F">
        <w:rPr>
          <w:rFonts w:asciiTheme="minorHAnsi" w:hAnsiTheme="minorHAnsi" w:cs="Arial"/>
          <w:b/>
          <w:lang w:val="en-ZA"/>
        </w:rPr>
        <w:t>TORQ6</w:t>
      </w:r>
      <w:r w:rsidRPr="005E1664">
        <w:rPr>
          <w:rFonts w:asciiTheme="minorHAnsi" w:hAnsiTheme="minorHAnsi" w:cs="Arial"/>
          <w:b/>
          <w:lang w:val="en-ZA"/>
        </w:rPr>
        <w:t>”)</w:t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i/>
          <w:iCs/>
          <w:lang w:val="en-GB"/>
        </w:rPr>
      </w:pP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lang w:val="en-GB"/>
        </w:rPr>
        <w:t>====================================================</w:t>
      </w:r>
      <w:bookmarkStart w:id="1" w:name="_GoBack"/>
      <w:bookmarkEnd w:id="1"/>
    </w:p>
    <w:p w:rsid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AD4B34" w:rsidRDefault="00B9617C" w:rsidP="000B2FF7">
      <w:pPr>
        <w:spacing w:line="360" w:lineRule="auto"/>
        <w:ind w:right="720"/>
        <w:jc w:val="both"/>
        <w:rPr>
          <w:rFonts w:asciiTheme="minorHAnsi" w:hAnsiTheme="minorHAnsi"/>
        </w:rPr>
      </w:pPr>
      <w:r w:rsidRPr="00B9617C">
        <w:rPr>
          <w:rFonts w:asciiTheme="minorHAnsi" w:hAnsiTheme="minorHAnsi"/>
        </w:rPr>
        <w:t>In accordance with the Terms and Conditions of</w:t>
      </w:r>
      <w:r w:rsidRPr="00B9617C">
        <w:rPr>
          <w:rStyle w:val="apple-converted-space"/>
          <w:rFonts w:asciiTheme="minorHAnsi" w:hAnsiTheme="minorHAnsi"/>
          <w:lang w:val="en-GB"/>
        </w:rPr>
        <w:t> </w:t>
      </w:r>
      <w:r w:rsidR="00E739E3" w:rsidRPr="005E1664">
        <w:rPr>
          <w:rFonts w:asciiTheme="minorHAnsi" w:hAnsiTheme="minorHAnsi"/>
          <w:b/>
          <w:lang w:val="en-ZA"/>
        </w:rPr>
        <w:t>TORQUE SECURITISATION</w:t>
      </w:r>
      <w:r w:rsidR="00E739E3">
        <w:rPr>
          <w:rFonts w:asciiTheme="minorHAnsi" w:hAnsiTheme="minorHAnsi"/>
          <w:lang w:val="en-ZA"/>
        </w:rPr>
        <w:t xml:space="preserve"> </w:t>
      </w:r>
      <w:r w:rsidR="00E739E3">
        <w:rPr>
          <w:rFonts w:asciiTheme="minorHAnsi" w:hAnsiTheme="minorHAnsi" w:cs="Arial"/>
          <w:b/>
          <w:lang w:val="en-ZA"/>
        </w:rPr>
        <w:t>(RF) LIMITED</w:t>
      </w:r>
      <w:r w:rsidR="00E739E3" w:rsidRPr="003A5C94">
        <w:rPr>
          <w:rFonts w:asciiTheme="minorHAnsi" w:hAnsiTheme="minorHAnsi"/>
          <w:lang w:val="en-ZA"/>
        </w:rPr>
        <w:t xml:space="preserve"> </w:t>
      </w:r>
      <w:r w:rsidRPr="00B9617C">
        <w:rPr>
          <w:rFonts w:asciiTheme="minorHAnsi" w:hAnsiTheme="minorHAnsi"/>
        </w:rPr>
        <w:t xml:space="preserve">notes, investors are herewith advised that the </w:t>
      </w:r>
      <w:r w:rsidR="00CA1C8F">
        <w:rPr>
          <w:rFonts w:asciiTheme="minorHAnsi" w:hAnsiTheme="minorHAnsi"/>
        </w:rPr>
        <w:t xml:space="preserve">maturity date of the </w:t>
      </w:r>
      <w:r w:rsidRPr="00B9617C">
        <w:rPr>
          <w:rFonts w:asciiTheme="minorHAnsi" w:hAnsiTheme="minorHAnsi"/>
        </w:rPr>
        <w:t>note</w:t>
      </w:r>
      <w:r w:rsidR="00CA1C8F">
        <w:rPr>
          <w:rFonts w:asciiTheme="minorHAnsi" w:hAnsiTheme="minorHAnsi"/>
        </w:rPr>
        <w:t>s</w:t>
      </w:r>
      <w:r w:rsidRPr="00B9617C">
        <w:rPr>
          <w:rFonts w:asciiTheme="minorHAnsi" w:hAnsiTheme="minorHAnsi"/>
        </w:rPr>
        <w:t xml:space="preserve"> </w:t>
      </w:r>
      <w:r w:rsidR="00A706BF">
        <w:rPr>
          <w:rFonts w:asciiTheme="minorHAnsi" w:hAnsiTheme="minorHAnsi"/>
        </w:rPr>
        <w:t xml:space="preserve">will be extended from </w:t>
      </w:r>
      <w:r w:rsidR="00E739E3">
        <w:rPr>
          <w:rFonts w:asciiTheme="minorHAnsi" w:hAnsiTheme="minorHAnsi"/>
        </w:rPr>
        <w:t>15 August</w:t>
      </w:r>
      <w:r w:rsidR="000A60EE">
        <w:rPr>
          <w:rFonts w:asciiTheme="minorHAnsi" w:hAnsiTheme="minorHAnsi"/>
        </w:rPr>
        <w:t xml:space="preserve"> </w:t>
      </w:r>
      <w:r w:rsidR="007B645C">
        <w:rPr>
          <w:rFonts w:asciiTheme="minorHAnsi" w:hAnsiTheme="minorHAnsi"/>
        </w:rPr>
        <w:t>201</w:t>
      </w:r>
      <w:r w:rsidR="00556518">
        <w:rPr>
          <w:rFonts w:asciiTheme="minorHAnsi" w:hAnsiTheme="minorHAnsi"/>
        </w:rPr>
        <w:t>7</w:t>
      </w:r>
      <w:r w:rsidR="00A706BF">
        <w:rPr>
          <w:rFonts w:asciiTheme="minorHAnsi" w:hAnsiTheme="minorHAnsi"/>
        </w:rPr>
        <w:t xml:space="preserve"> to </w:t>
      </w:r>
      <w:r w:rsidR="00E739E3">
        <w:rPr>
          <w:rFonts w:asciiTheme="minorHAnsi" w:hAnsiTheme="minorHAnsi"/>
        </w:rPr>
        <w:t>15 April 2022</w:t>
      </w:r>
      <w:r w:rsidR="00CA1C8F">
        <w:rPr>
          <w:rFonts w:asciiTheme="minorHAnsi" w:hAnsiTheme="minorHAnsi"/>
        </w:rPr>
        <w:t xml:space="preserve">, being the legal maturity date of the notes, subject to the terms of the early amortization </w:t>
      </w:r>
      <w:proofErr w:type="spellStart"/>
      <w:r w:rsidR="00CA1C8F">
        <w:rPr>
          <w:rFonts w:asciiTheme="minorHAnsi" w:hAnsiTheme="minorHAnsi"/>
        </w:rPr>
        <w:t>programme</w:t>
      </w:r>
      <w:proofErr w:type="spellEnd"/>
      <w:r w:rsidR="00CA1C8F">
        <w:rPr>
          <w:rFonts w:asciiTheme="minorHAnsi" w:hAnsiTheme="minorHAnsi"/>
        </w:rPr>
        <w:t xml:space="preserve"> as announced on SENS on 17 May 2016</w:t>
      </w:r>
      <w:r w:rsidR="00B04D83">
        <w:rPr>
          <w:rFonts w:asciiTheme="minorHAnsi" w:hAnsiTheme="minorHAnsi"/>
        </w:rPr>
        <w:t>.</w:t>
      </w:r>
    </w:p>
    <w:p w:rsidR="00CA1C8F" w:rsidRDefault="00CA1C8F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CA1C8F" w:rsidRDefault="00CA1C8F" w:rsidP="000B2FF7">
      <w:pPr>
        <w:spacing w:line="360" w:lineRule="auto"/>
        <w:ind w:righ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Furthermore, investors are advised of the step-up rate in respect of the notes, </w:t>
      </w:r>
      <w:r w:rsidRPr="00E74121">
        <w:rPr>
          <w:rFonts w:asciiTheme="minorHAnsi" w:hAnsiTheme="minorHAnsi"/>
        </w:rPr>
        <w:t xml:space="preserve">effective 15 August 2017 until the earlier of full settlement in terms of the early </w:t>
      </w:r>
      <w:proofErr w:type="spellStart"/>
      <w:r w:rsidRPr="00E74121">
        <w:rPr>
          <w:rFonts w:asciiTheme="minorHAnsi" w:hAnsiTheme="minorHAnsi"/>
        </w:rPr>
        <w:t>amortisation</w:t>
      </w:r>
      <w:proofErr w:type="spellEnd"/>
      <w:r w:rsidRPr="00E74121">
        <w:rPr>
          <w:rFonts w:asciiTheme="minorHAnsi" w:hAnsiTheme="minorHAnsi"/>
        </w:rPr>
        <w:t xml:space="preserve"> </w:t>
      </w:r>
      <w:proofErr w:type="spellStart"/>
      <w:r w:rsidRPr="00E74121">
        <w:rPr>
          <w:rFonts w:asciiTheme="minorHAnsi" w:hAnsiTheme="minorHAnsi"/>
        </w:rPr>
        <w:t>programme</w:t>
      </w:r>
      <w:proofErr w:type="spellEnd"/>
      <w:r w:rsidRPr="00E74121">
        <w:rPr>
          <w:rFonts w:asciiTheme="minorHAnsi" w:hAnsiTheme="minorHAnsi"/>
        </w:rPr>
        <w:t xml:space="preserve"> announced on SENS on 17 May 2016 or the legal maturity date of the notes, being 15 April 2022.</w:t>
      </w:r>
    </w:p>
    <w:p w:rsidR="00CA1C8F" w:rsidRDefault="00CA1C8F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16"/>
        <w:gridCol w:w="3686"/>
        <w:gridCol w:w="4415"/>
      </w:tblGrid>
      <w:tr w:rsidR="00CA1C8F" w:rsidRPr="00CA1C8F" w:rsidTr="00FC3EC0">
        <w:trPr>
          <w:cantSplit/>
          <w:jc w:val="center"/>
        </w:trPr>
        <w:tc>
          <w:tcPr>
            <w:tcW w:w="1816" w:type="dxa"/>
          </w:tcPr>
          <w:p w:rsidR="00CA1C8F" w:rsidRPr="00E74121" w:rsidRDefault="00CA1C8F" w:rsidP="00FC3EC0">
            <w:pPr>
              <w:ind w:right="720"/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CA1C8F" w:rsidRPr="00E74121" w:rsidRDefault="00CA1C8F" w:rsidP="00FC3EC0">
            <w:pPr>
              <w:ind w:right="720"/>
              <w:rPr>
                <w:rFonts w:asciiTheme="minorHAnsi" w:hAnsiTheme="minorHAnsi"/>
                <w:b/>
              </w:rPr>
            </w:pPr>
            <w:r w:rsidRPr="00E74121">
              <w:rPr>
                <w:rFonts w:asciiTheme="minorHAnsi" w:hAnsiTheme="minorHAnsi"/>
                <w:b/>
              </w:rPr>
              <w:t>Current Margin</w:t>
            </w:r>
          </w:p>
        </w:tc>
        <w:tc>
          <w:tcPr>
            <w:tcW w:w="4415" w:type="dxa"/>
          </w:tcPr>
          <w:p w:rsidR="00CA1C8F" w:rsidRPr="00E74121" w:rsidRDefault="00CA1C8F" w:rsidP="00FC3EC0">
            <w:pPr>
              <w:ind w:right="720"/>
              <w:rPr>
                <w:rFonts w:asciiTheme="minorHAnsi" w:hAnsiTheme="minorHAnsi"/>
                <w:b/>
              </w:rPr>
            </w:pPr>
            <w:r w:rsidRPr="00E74121">
              <w:rPr>
                <w:rFonts w:asciiTheme="minorHAnsi" w:hAnsiTheme="minorHAnsi"/>
                <w:b/>
              </w:rPr>
              <w:t>Margin after Step-Up</w:t>
            </w:r>
          </w:p>
          <w:p w:rsidR="00CA1C8F" w:rsidRPr="00E74121" w:rsidRDefault="00CA1C8F" w:rsidP="00FC3EC0">
            <w:pPr>
              <w:ind w:right="720"/>
              <w:rPr>
                <w:rFonts w:asciiTheme="minorHAnsi" w:hAnsiTheme="minorHAnsi"/>
              </w:rPr>
            </w:pPr>
          </w:p>
        </w:tc>
      </w:tr>
      <w:tr w:rsidR="00CA1C8F" w:rsidRPr="00CA1C8F" w:rsidTr="00FC3EC0">
        <w:trPr>
          <w:cantSplit/>
          <w:jc w:val="center"/>
        </w:trPr>
        <w:tc>
          <w:tcPr>
            <w:tcW w:w="1816" w:type="dxa"/>
          </w:tcPr>
          <w:p w:rsidR="00CA1C8F" w:rsidRPr="00E74121" w:rsidRDefault="00CA1C8F" w:rsidP="00FC3EC0">
            <w:pPr>
              <w:ind w:right="114"/>
              <w:rPr>
                <w:rFonts w:asciiTheme="minorHAnsi" w:hAnsiTheme="minorHAnsi"/>
              </w:rPr>
            </w:pPr>
            <w:r w:rsidRPr="00E74121">
              <w:rPr>
                <w:rFonts w:asciiTheme="minorHAnsi" w:hAnsiTheme="minorHAnsi"/>
              </w:rPr>
              <w:t>TORQ3</w:t>
            </w:r>
          </w:p>
        </w:tc>
        <w:tc>
          <w:tcPr>
            <w:tcW w:w="3686" w:type="dxa"/>
          </w:tcPr>
          <w:p w:rsidR="00CA1C8F" w:rsidRPr="00E74121" w:rsidRDefault="00CA1C8F" w:rsidP="00FC3EC0">
            <w:pPr>
              <w:ind w:right="93"/>
              <w:rPr>
                <w:rFonts w:asciiTheme="minorHAnsi" w:hAnsiTheme="minorHAnsi"/>
              </w:rPr>
            </w:pPr>
            <w:r w:rsidRPr="00E74121">
              <w:rPr>
                <w:rFonts w:asciiTheme="minorHAnsi" w:hAnsiTheme="minorHAnsi"/>
              </w:rPr>
              <w:t>1.59% over 3M JIBAR</w:t>
            </w:r>
          </w:p>
        </w:tc>
        <w:tc>
          <w:tcPr>
            <w:tcW w:w="4415" w:type="dxa"/>
          </w:tcPr>
          <w:p w:rsidR="00CA1C8F" w:rsidRPr="00E74121" w:rsidRDefault="00CA1C8F" w:rsidP="00FC3EC0">
            <w:pPr>
              <w:ind w:right="720"/>
              <w:rPr>
                <w:rFonts w:asciiTheme="minorHAnsi" w:hAnsiTheme="minorHAnsi"/>
              </w:rPr>
            </w:pPr>
            <w:r w:rsidRPr="00E74121">
              <w:rPr>
                <w:rFonts w:asciiTheme="minorHAnsi" w:hAnsiTheme="minorHAnsi"/>
              </w:rPr>
              <w:t>2.09% over 3M JIBAR</w:t>
            </w:r>
          </w:p>
        </w:tc>
      </w:tr>
      <w:tr w:rsidR="00CA1C8F" w:rsidRPr="00CA1C8F" w:rsidTr="00FC3EC0">
        <w:trPr>
          <w:cantSplit/>
          <w:jc w:val="center"/>
        </w:trPr>
        <w:tc>
          <w:tcPr>
            <w:tcW w:w="1816" w:type="dxa"/>
          </w:tcPr>
          <w:p w:rsidR="00CA1C8F" w:rsidRPr="00E74121" w:rsidRDefault="00CA1C8F" w:rsidP="00FC3EC0">
            <w:pPr>
              <w:ind w:right="114"/>
              <w:rPr>
                <w:rFonts w:asciiTheme="minorHAnsi" w:hAnsiTheme="minorHAnsi"/>
              </w:rPr>
            </w:pPr>
            <w:r w:rsidRPr="00E74121">
              <w:rPr>
                <w:rFonts w:asciiTheme="minorHAnsi" w:hAnsiTheme="minorHAnsi"/>
              </w:rPr>
              <w:t xml:space="preserve">TORQ6 </w:t>
            </w:r>
          </w:p>
        </w:tc>
        <w:tc>
          <w:tcPr>
            <w:tcW w:w="3686" w:type="dxa"/>
          </w:tcPr>
          <w:p w:rsidR="00CA1C8F" w:rsidRPr="00E74121" w:rsidRDefault="00CA1C8F" w:rsidP="00FC3EC0">
            <w:pPr>
              <w:ind w:right="93"/>
              <w:rPr>
                <w:rFonts w:asciiTheme="minorHAnsi" w:hAnsiTheme="minorHAnsi"/>
              </w:rPr>
            </w:pPr>
            <w:r w:rsidRPr="00E74121">
              <w:rPr>
                <w:rFonts w:asciiTheme="minorHAnsi" w:hAnsiTheme="minorHAnsi"/>
              </w:rPr>
              <w:t>4.5% over PRIME</w:t>
            </w:r>
          </w:p>
        </w:tc>
        <w:tc>
          <w:tcPr>
            <w:tcW w:w="4415" w:type="dxa"/>
          </w:tcPr>
          <w:p w:rsidR="00CA1C8F" w:rsidRPr="00E74121" w:rsidRDefault="00CA1C8F" w:rsidP="00FC3EC0">
            <w:pPr>
              <w:ind w:right="720"/>
              <w:rPr>
                <w:rFonts w:asciiTheme="minorHAnsi" w:hAnsiTheme="minorHAnsi"/>
              </w:rPr>
            </w:pPr>
            <w:r w:rsidRPr="00E74121">
              <w:rPr>
                <w:rFonts w:asciiTheme="minorHAnsi" w:hAnsiTheme="minorHAnsi"/>
              </w:rPr>
              <w:t>5.5% over PRIME</w:t>
            </w:r>
          </w:p>
        </w:tc>
      </w:tr>
    </w:tbl>
    <w:p w:rsidR="00CA1C8F" w:rsidRDefault="00CA1C8F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753207" w:rsidRPr="00B9617C" w:rsidRDefault="00753207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  <w:r w:rsidRPr="000B2FF7">
        <w:rPr>
          <w:rFonts w:asciiTheme="minorHAnsi" w:hAnsiTheme="minorHAnsi"/>
        </w:rPr>
        <w:t>Further information on the</w:t>
      </w:r>
      <w:r w:rsidRPr="000B2FF7">
        <w:rPr>
          <w:rFonts w:asciiTheme="minorHAnsi" w:hAnsiTheme="minorHAnsi"/>
          <w:b/>
          <w:bCs/>
        </w:rPr>
        <w:t xml:space="preserve"> </w:t>
      </w:r>
      <w:r w:rsidRPr="000B2FF7">
        <w:rPr>
          <w:rFonts w:asciiTheme="minorHAnsi" w:hAnsiTheme="minorHAnsi"/>
        </w:rPr>
        <w:t xml:space="preserve">Notes please </w:t>
      </w:r>
      <w:proofErr w:type="gramStart"/>
      <w:r w:rsidRPr="000B2FF7">
        <w:rPr>
          <w:rFonts w:asciiTheme="minorHAnsi" w:hAnsiTheme="minorHAnsi"/>
        </w:rPr>
        <w:t>contact</w:t>
      </w:r>
      <w:proofErr w:type="gramEnd"/>
      <w:r w:rsidRPr="000B2FF7">
        <w:rPr>
          <w:rFonts w:asciiTheme="minorHAnsi" w:hAnsiTheme="minorHAnsi"/>
        </w:rPr>
        <w:t>:</w:t>
      </w: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  <w:r w:rsidRPr="000B2FF7">
        <w:rPr>
          <w:rFonts w:asciiTheme="minorHAnsi" w:hAnsiTheme="minorHAnsi"/>
        </w:rPr>
        <w:t xml:space="preserve">   </w:t>
      </w:r>
    </w:p>
    <w:p w:rsidR="00085030" w:rsidRPr="000B2FF7" w:rsidRDefault="000D4AEF" w:rsidP="000F790E">
      <w:pPr>
        <w:rPr>
          <w:rFonts w:asciiTheme="minorHAnsi" w:hAnsiTheme="minorHAnsi"/>
        </w:rPr>
      </w:pPr>
      <w:proofErr w:type="gramStart"/>
      <w:r w:rsidRPr="000D4AEF">
        <w:rPr>
          <w:rFonts w:asciiTheme="minorHAnsi" w:hAnsiTheme="minorHAnsi"/>
        </w:rPr>
        <w:t>Corporate  Actions</w:t>
      </w:r>
      <w:proofErr w:type="gramEnd"/>
      <w:r w:rsidRPr="000D4AEF">
        <w:rPr>
          <w:rFonts w:asciiTheme="minorHAnsi" w:hAnsiTheme="minorHAnsi"/>
        </w:rPr>
        <w:tab/>
      </w:r>
      <w:r w:rsidRPr="000D4AEF">
        <w:rPr>
          <w:rFonts w:asciiTheme="minorHAnsi" w:hAnsiTheme="minorHAnsi"/>
        </w:rPr>
        <w:tab/>
        <w:t xml:space="preserve">          JSE</w:t>
      </w:r>
      <w:r w:rsidRPr="000D4AEF">
        <w:rPr>
          <w:rFonts w:asciiTheme="minorHAnsi" w:hAnsiTheme="minorHAnsi"/>
        </w:rPr>
        <w:tab/>
      </w:r>
      <w:r w:rsidRPr="000D4AEF">
        <w:rPr>
          <w:rFonts w:asciiTheme="minorHAnsi" w:hAnsiTheme="minorHAnsi"/>
        </w:rPr>
        <w:tab/>
      </w:r>
      <w:r w:rsidRPr="000D4AEF">
        <w:rPr>
          <w:rFonts w:asciiTheme="minorHAnsi" w:hAnsiTheme="minorHAnsi"/>
        </w:rPr>
        <w:tab/>
      </w:r>
      <w:r w:rsidRPr="000D4AEF">
        <w:rPr>
          <w:rFonts w:asciiTheme="minorHAnsi" w:hAnsiTheme="minorHAnsi"/>
        </w:rPr>
        <w:tab/>
      </w:r>
      <w:r w:rsidRPr="000D4AEF">
        <w:rPr>
          <w:rFonts w:asciiTheme="minorHAnsi" w:hAnsiTheme="minorHAnsi"/>
        </w:rPr>
        <w:tab/>
        <w:t xml:space="preserve">      </w:t>
      </w:r>
      <w:r w:rsidRPr="000D4AEF">
        <w:rPr>
          <w:rFonts w:asciiTheme="minorHAnsi" w:hAnsiTheme="minorHAnsi"/>
        </w:rPr>
        <w:tab/>
        <w:t xml:space="preserve">               +27 11 520 7000</w:t>
      </w:r>
    </w:p>
    <w:sectPr w:rsidR="00085030" w:rsidRPr="000B2FF7" w:rsidSect="00F22A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78" w:rsidRDefault="00403278">
      <w:r>
        <w:separator/>
      </w:r>
    </w:p>
  </w:endnote>
  <w:endnote w:type="continuationSeparator" w:id="0">
    <w:p w:rsidR="00403278" w:rsidRDefault="0040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1C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1C3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3831C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1C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1C3" w:rsidRPr="00C94EA6">
      <w:rPr>
        <w:rFonts w:eastAsia="Times New Roman"/>
        <w:b/>
        <w:color w:val="808080"/>
        <w:sz w:val="14"/>
      </w:rPr>
      <w:fldChar w:fldCharType="separate"/>
    </w:r>
    <w:r w:rsidR="000B73F9">
      <w:rPr>
        <w:rFonts w:eastAsia="Times New Roman"/>
        <w:b/>
        <w:noProof/>
        <w:color w:val="808080"/>
        <w:sz w:val="14"/>
      </w:rPr>
      <w:t>1</w:t>
    </w:r>
    <w:r w:rsidR="003831C3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78" w:rsidRDefault="00403278">
      <w:r>
        <w:separator/>
      </w:r>
    </w:p>
  </w:footnote>
  <w:footnote w:type="continuationSeparator" w:id="0">
    <w:p w:rsidR="00403278" w:rsidRDefault="0040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1C3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A1C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68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68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A1C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lloway, Courtney">
    <w15:presenceInfo w15:providerId="AD" w15:userId="S-1-5-21-129840077-386408952-1128231545-67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A05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60EE"/>
    <w:rsid w:val="000B2FF7"/>
    <w:rsid w:val="000B4185"/>
    <w:rsid w:val="000B673E"/>
    <w:rsid w:val="000B6A1E"/>
    <w:rsid w:val="000B6BC9"/>
    <w:rsid w:val="000B73F9"/>
    <w:rsid w:val="000B7CE7"/>
    <w:rsid w:val="000C3066"/>
    <w:rsid w:val="000C3E3E"/>
    <w:rsid w:val="000C4651"/>
    <w:rsid w:val="000C7057"/>
    <w:rsid w:val="000C769B"/>
    <w:rsid w:val="000D4AEF"/>
    <w:rsid w:val="000D4CC3"/>
    <w:rsid w:val="000E01EF"/>
    <w:rsid w:val="000E5843"/>
    <w:rsid w:val="000F3027"/>
    <w:rsid w:val="000F536F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C41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52C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E3E83"/>
    <w:rsid w:val="002F0695"/>
    <w:rsid w:val="002F06E8"/>
    <w:rsid w:val="002F1770"/>
    <w:rsid w:val="002F1DA7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1C3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FC9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3278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518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207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B645C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707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62F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E1F"/>
    <w:rsid w:val="009B2517"/>
    <w:rsid w:val="009B7226"/>
    <w:rsid w:val="009B725F"/>
    <w:rsid w:val="009C0C2F"/>
    <w:rsid w:val="009C2B32"/>
    <w:rsid w:val="009C48CB"/>
    <w:rsid w:val="009C6E37"/>
    <w:rsid w:val="009D097C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6BF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4B3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D83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17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E95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47AEA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1C8F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AFF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DF70E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39E3"/>
    <w:rsid w:val="00E7412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D76EB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2A68"/>
    <w:rsid w:val="00F242D6"/>
    <w:rsid w:val="00F27221"/>
    <w:rsid w:val="00F319C8"/>
    <w:rsid w:val="00F31CA3"/>
    <w:rsid w:val="00F326D2"/>
    <w:rsid w:val="00F359F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7BA9"/>
    <w:rsid w:val="00F600EF"/>
    <w:rsid w:val="00F604E0"/>
    <w:rsid w:val="00F607E2"/>
    <w:rsid w:val="00F60FB7"/>
    <w:rsid w:val="00F6205D"/>
    <w:rsid w:val="00F669F5"/>
    <w:rsid w:val="00F677BB"/>
    <w:rsid w:val="00F71CDC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B96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B9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38D8B8E-D58C-4A58-98EC-9B74C58DEDAC}"/>
</file>

<file path=customXml/itemProps2.xml><?xml version="1.0" encoding="utf-8"?>
<ds:datastoreItem xmlns:ds="http://schemas.openxmlformats.org/officeDocument/2006/customXml" ds:itemID="{7C6B36E8-1D35-429A-A1B1-7487593ABE58}"/>
</file>

<file path=customXml/itemProps3.xml><?xml version="1.0" encoding="utf-8"?>
<ds:datastoreItem xmlns:ds="http://schemas.openxmlformats.org/officeDocument/2006/customXml" ds:itemID="{1FEEE712-2CD5-49F8-8B95-B37A307B9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2016-10-11T07:15:00Z</cp:lastPrinted>
  <dcterms:created xsi:type="dcterms:W3CDTF">2017-08-04T12:57:00Z</dcterms:created>
  <dcterms:modified xsi:type="dcterms:W3CDTF">2017-08-04T13:04:00Z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